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华康简标题宋" w:hAnsi="华康简标题宋" w:eastAsia="华康简标题宋" w:cs="华康简标题宋"/>
          <w:color w:val="FF0000"/>
          <w:sz w:val="42"/>
          <w:szCs w:val="42"/>
        </w:rPr>
      </w:pPr>
      <w:r>
        <w:rPr>
          <w:rFonts w:hint="eastAsia" w:ascii="华康简标题宋" w:hAnsi="华康简标题宋" w:eastAsia="华康简标题宋" w:cs="华康简标题宋"/>
          <w:sz w:val="42"/>
          <w:szCs w:val="42"/>
          <w:lang w:val="en-US" w:eastAsia="zh-CN"/>
        </w:rPr>
        <w:t>艺起绘美好——东莞教师美术作品双年展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华康简标题宋" w:hAnsi="华康简标题宋" w:eastAsia="华康简标题宋" w:cs="华康简标题宋"/>
          <w:sz w:val="42"/>
          <w:szCs w:val="42"/>
          <w:lang w:eastAsia="zh-CN"/>
        </w:rPr>
      </w:pPr>
      <w:r>
        <w:rPr>
          <w:rFonts w:hint="eastAsia" w:ascii="华康简标题宋" w:hAnsi="华康简标题宋" w:eastAsia="华康简标题宋" w:cs="华康简标题宋"/>
          <w:sz w:val="42"/>
          <w:szCs w:val="42"/>
          <w:lang w:eastAsia="zh-CN"/>
        </w:rPr>
        <w:t>征稿通知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华康简标题宋" w:hAnsi="华康简标题宋" w:eastAsia="华康简标题宋" w:cs="华康简标题宋"/>
          <w:sz w:val="42"/>
          <w:szCs w:val="4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8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7"/>
          <w:sz w:val="31"/>
          <w:szCs w:val="31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7"/>
          <w:sz w:val="31"/>
          <w:szCs w:val="31"/>
          <w:highlight w:val="none"/>
          <w:shd w:val="clear" w:color="auto" w:fill="FFFFFF"/>
        </w:rPr>
        <w:t>为深入学习贯彻习近平新时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</w:rPr>
        <w:t>代中国特色社会主义思想，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lang w:val="en-US" w:eastAsia="zh-CN"/>
        </w:rPr>
        <w:t>贯彻落实党的十九届六中全会精神和习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</w:rPr>
        <w:t>近平总书记在中国文联第十一次全国代表大会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</w:rPr>
        <w:t>的重要讲话精神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lang w:val="en-US" w:eastAsia="zh-CN"/>
        </w:rPr>
        <w:t>，迎接党的二十大胜利召开，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7"/>
          <w:sz w:val="31"/>
          <w:szCs w:val="31"/>
          <w:highlight w:val="none"/>
          <w:shd w:val="clear" w:color="auto" w:fill="FFFFFF"/>
          <w:lang w:eastAsia="zh-CN"/>
        </w:rPr>
        <w:t>不忘初心、攻坚克难、开拓奋进，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7"/>
          <w:sz w:val="31"/>
          <w:szCs w:val="31"/>
          <w:highlight w:val="none"/>
          <w:shd w:val="clear" w:color="auto" w:fill="FFFFFF"/>
        </w:rPr>
        <w:t>推进新时代美育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7"/>
          <w:sz w:val="31"/>
          <w:szCs w:val="31"/>
          <w:highlight w:val="none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7"/>
          <w:sz w:val="31"/>
          <w:szCs w:val="31"/>
          <w:highlight w:val="none"/>
          <w:shd w:val="clear" w:color="auto" w:fill="FFFFFF"/>
        </w:rPr>
        <w:t>改革发展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7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7"/>
          <w:sz w:val="31"/>
          <w:szCs w:val="31"/>
          <w:highlight w:val="none"/>
          <w:shd w:val="clear" w:color="auto" w:fill="FFFFFF"/>
        </w:rPr>
        <w:t>坚持以美育人、以美化人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7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</w:rPr>
        <w:t>推动美术精品创作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</w:rPr>
        <w:t>塑造有影响力的文化品牌，</w:t>
      </w:r>
      <w:r>
        <w:rPr>
          <w:rFonts w:hint="eastAsia" w:ascii="仿宋_GB2312" w:hAnsi="仿宋_GB2312" w:eastAsia="仿宋_GB2312" w:cs="仿宋_GB2312"/>
          <w:color w:val="auto"/>
          <w:kern w:val="2"/>
          <w:sz w:val="31"/>
          <w:szCs w:val="31"/>
          <w:highlight w:val="none"/>
          <w:lang w:val="en-US" w:eastAsia="zh-CN" w:bidi="ar-SA"/>
        </w:rPr>
        <w:t>促进“大岭南”文化繁荣，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7"/>
          <w:sz w:val="31"/>
          <w:szCs w:val="31"/>
          <w:highlight w:val="none"/>
          <w:shd w:val="clear" w:color="auto" w:fill="FFFFFF"/>
          <w:lang w:val="en-US" w:eastAsia="zh-CN"/>
        </w:rPr>
        <w:t>东莞市文化广电旅游体育局、东莞市教育局拟联合主办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 w:bidi="ar-SA"/>
        </w:rPr>
        <w:t>“艺起绘美好——东莞教师美术作品双年展”</w:t>
      </w:r>
      <w:r>
        <w:rPr>
          <w:rFonts w:hint="eastAsia" w:ascii="仿宋_GB2312" w:hAnsi="仿宋_GB2312" w:eastAsia="仿宋_GB2312" w:cs="仿宋_GB2312"/>
          <w:color w:val="auto"/>
          <w:kern w:val="2"/>
          <w:sz w:val="31"/>
          <w:szCs w:val="31"/>
          <w:highlight w:val="none"/>
          <w:lang w:val="en-US" w:eastAsia="zh-CN" w:bidi="ar-SA"/>
        </w:rPr>
        <w:t>。现将展览有关事宜通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lang w:val="en-US" w:eastAsia="zh-CN"/>
        </w:rPr>
        <w:t>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仿宋_GB2312" w:eastAsia="黑体" w:cs="仿宋_GB2312"/>
          <w:color w:val="auto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1"/>
          <w:szCs w:val="31"/>
        </w:rPr>
        <w:t>一、组织机构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Calibri" w:eastAsia="仿宋_GB2312" w:cs="Times New Roman"/>
          <w:color w:val="auto"/>
          <w:kern w:val="2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1"/>
          <w:szCs w:val="31"/>
          <w:highlight w:val="none"/>
          <w:lang w:val="en-US" w:eastAsia="zh-CN" w:bidi="ar-SA"/>
        </w:rPr>
        <w:t>主办单位：东莞市文化广电旅游体育局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2170" w:firstLineChars="700"/>
        <w:textAlignment w:val="auto"/>
        <w:rPr>
          <w:rFonts w:hint="default" w:ascii="仿宋_GB2312" w:hAnsi="Calibri" w:eastAsia="仿宋_GB2312" w:cs="Times New Roman"/>
          <w:color w:val="auto"/>
          <w:kern w:val="2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1"/>
          <w:szCs w:val="31"/>
          <w:highlight w:val="none"/>
          <w:lang w:val="en-US" w:eastAsia="zh-CN" w:bidi="ar-SA"/>
        </w:rPr>
        <w:t xml:space="preserve">东莞市教育局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Calibri" w:eastAsia="仿宋_GB2312" w:cs="Times New Roman"/>
          <w:color w:val="auto"/>
          <w:kern w:val="2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1"/>
          <w:szCs w:val="31"/>
          <w:highlight w:val="none"/>
          <w:lang w:val="en-US" w:eastAsia="zh-CN" w:bidi="ar-SA"/>
        </w:rPr>
        <w:t>承办单位：岭南美术馆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2170" w:firstLineChars="700"/>
        <w:textAlignment w:val="auto"/>
        <w:rPr>
          <w:rFonts w:hint="eastAsia" w:ascii="仿宋_GB2312" w:hAnsi="Calibri" w:eastAsia="仿宋_GB2312" w:cs="Times New Roman"/>
          <w:color w:val="auto"/>
          <w:kern w:val="2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1"/>
          <w:szCs w:val="31"/>
          <w:highlight w:val="none"/>
          <w:lang w:val="en-US" w:eastAsia="zh-CN" w:bidi="ar-SA"/>
        </w:rPr>
        <w:t>东莞市中小学体育艺术联合会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2170" w:firstLineChars="700"/>
        <w:textAlignment w:val="auto"/>
        <w:rPr>
          <w:rFonts w:hint="eastAsia" w:ascii="仿宋_GB2312" w:hAnsi="Calibri" w:eastAsia="仿宋_GB2312" w:cs="Times New Roman"/>
          <w:color w:val="auto"/>
          <w:kern w:val="2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1"/>
          <w:szCs w:val="31"/>
          <w:highlight w:val="none"/>
          <w:lang w:val="en-US" w:eastAsia="zh-CN" w:bidi="ar-SA"/>
        </w:rPr>
        <w:t xml:space="preserve">东莞市教育学会美术书法专业委员会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</w:rPr>
      </w:pPr>
      <w:r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  <w:t xml:space="preserve">    二</w:t>
      </w:r>
      <w:r>
        <w:rPr>
          <w:rFonts w:hint="eastAsia" w:ascii="黑体" w:hAnsi="黑体" w:eastAsia="黑体" w:cs="黑体"/>
          <w:color w:val="auto"/>
          <w:sz w:val="31"/>
          <w:szCs w:val="31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  <w:t>参展对象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 w:bidi="ar-SA"/>
        </w:rPr>
        <w:t>东莞市美术教师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黑体" w:hAnsi="黑体" w:eastAsia="黑体" w:cs="黑体"/>
          <w:color w:val="auto"/>
          <w:sz w:val="31"/>
          <w:szCs w:val="31"/>
        </w:rPr>
      </w:pPr>
      <w:r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  <w:t>展览</w:t>
      </w:r>
      <w:r>
        <w:rPr>
          <w:rFonts w:hint="eastAsia" w:ascii="黑体" w:hAnsi="黑体" w:eastAsia="黑体" w:cs="黑体"/>
          <w:color w:val="auto"/>
          <w:sz w:val="31"/>
          <w:szCs w:val="31"/>
        </w:rPr>
        <w:t>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default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</w:rPr>
        <w:t>20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23日至9月21日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20" w:firstLineChars="200"/>
        <w:textAlignment w:val="auto"/>
        <w:rPr>
          <w:rFonts w:hint="eastAsia" w:ascii="黑体" w:hAnsi="黑体" w:eastAsia="黑体" w:cs="黑体"/>
          <w:color w:val="auto"/>
          <w:sz w:val="31"/>
          <w:szCs w:val="31"/>
        </w:rPr>
      </w:pPr>
      <w:r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  <w:t>展览</w:t>
      </w:r>
      <w:r>
        <w:rPr>
          <w:rFonts w:hint="eastAsia" w:ascii="黑体" w:hAnsi="黑体" w:eastAsia="黑体" w:cs="黑体"/>
          <w:color w:val="auto"/>
          <w:sz w:val="31"/>
          <w:szCs w:val="31"/>
        </w:rPr>
        <w:t>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default" w:ascii="仿宋_GB2312" w:hAnsi="仿宋_GB2312" w:eastAsia="仿宋_GB2312" w:cs="仿宋_GB2312"/>
          <w:color w:val="FF0000"/>
          <w:sz w:val="31"/>
          <w:szCs w:val="31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</w:rPr>
        <w:t>岭南美术馆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黑体" w:hAnsi="黑体" w:eastAsia="黑体" w:cs="黑体"/>
          <w:color w:val="auto"/>
          <w:sz w:val="31"/>
          <w:szCs w:val="31"/>
        </w:rPr>
      </w:pPr>
      <w:r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  <w:t>五、</w:t>
      </w:r>
      <w:r>
        <w:rPr>
          <w:rFonts w:hint="eastAsia" w:ascii="黑体" w:hAnsi="黑体" w:eastAsia="黑体" w:cs="黑体"/>
          <w:color w:val="auto"/>
          <w:sz w:val="31"/>
          <w:szCs w:val="31"/>
        </w:rPr>
        <w:t>作品要求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lang w:val="en-US" w:eastAsia="zh-CN"/>
        </w:rPr>
        <w:t>投稿作品要求思想健康向上，以迎接党的“二十大”召开、新时代新风貌、和谐社会、富饶广东等为主题的美术创作，尤以东莞为重要创作内容，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传承地域美术精神。凡符合本展览作品内容要求，原创作品均可投稿。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作品画种、风格、形式不限。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作品尺寸要求：作品装裱后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最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大边尺寸不超过2米。立体作品最大边尺寸不超过1.5米，重量在100公斤以下，易折损材料限用。超尺寸者将取消评选资格。每位作者只限报送作品一件。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jc w:val="both"/>
        <w:textAlignment w:val="auto"/>
        <w:rPr>
          <w:rFonts w:hint="default" w:ascii="黑体" w:hAnsi="黑体" w:eastAsia="黑体" w:cs="黑体"/>
          <w:color w:val="auto"/>
          <w:sz w:val="31"/>
          <w:szCs w:val="31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1"/>
          <w:szCs w:val="31"/>
          <w:lang w:val="en-US" w:eastAsia="zh-CN"/>
        </w:rPr>
        <w:t> </w:t>
      </w:r>
      <w:r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  <w:t>六</w:t>
      </w:r>
      <w:r>
        <w:rPr>
          <w:rFonts w:hint="default" w:ascii="黑体" w:hAnsi="黑体" w:eastAsia="黑体" w:cs="黑体"/>
          <w:color w:val="auto"/>
          <w:sz w:val="31"/>
          <w:szCs w:val="31"/>
          <w:lang w:val="en-US" w:eastAsia="zh-CN"/>
        </w:rPr>
        <w:t>、评选办法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展览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公开征稿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，采取电子照片投影初评和原作复评方式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，由专家组成的作品评审组对投稿作品进行评选，入选及展出与否以最终通过审定的结果为准。参展作者需提供送展作品的照片参加初评，初评入围作者按要求送原作参加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复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展览面向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东莞市美术教师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广泛征稿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初评：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38" w:firstLineChars="206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每位作者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限送一张作品照片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电子档发送至相关邮箱，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参加初评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（含合作）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，多投者（重复投稿者）不予受理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38" w:firstLineChars="206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照片及“作品登记表”表格电子版需同时发至以下电子邮箱：lnmsg@qq.com，邮件收取时间为： 2022年6月15日至20日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24：00时止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，邮件标题备注：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 w:bidi="ar-SA"/>
        </w:rPr>
        <w:t>“艺起绘美好——东莞教师美术作品双年展”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参评+姓名+联系电话；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初评入围名单及时在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“岭南美术馆”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及官方网站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发布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注：初评未入围作者不另行通知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（四）复评：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1.初评入围作者接到通知后送交原作参加复评，作品需自行装裱，背面须贴“作品登记表”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（下载附件）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2.寄送件须妥善包装，通过正规物流公司运输/邮寄（自付运费），防止邮寄中破损遗失；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3.复评原件必须与初评照片电子档相符，如有替换，恕不接受参评；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展览结束后所有复评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原作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退回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1"/>
          <w:szCs w:val="3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（五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</w:rPr>
        <w:t>复评收原件时间及地点另行通知。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黑体" w:hAnsi="黑体" w:eastAsia="黑体" w:cs="黑体"/>
          <w:color w:val="auto"/>
          <w:sz w:val="31"/>
          <w:szCs w:val="31"/>
        </w:rPr>
      </w:pPr>
      <w:r>
        <w:rPr>
          <w:rFonts w:hint="eastAsia" w:ascii="黑体" w:hAnsi="黑体" w:eastAsia="黑体" w:cs="黑体"/>
          <w:color w:val="auto"/>
          <w:sz w:val="31"/>
          <w:szCs w:val="31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z w:val="31"/>
          <w:szCs w:val="31"/>
        </w:rPr>
        <w:t>、奖励待遇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（一）从入展作品中评出一、二、三等奖作品若干件；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（二）入选和获奖者将获得由主办方盖章颁发的证书；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（三）获奖作品由岭南美术馆挑选部分与作者进行协议收藏，另付作品收藏费用，颁发收藏证书；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（四）每位参展作者获赠画册两本。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黑体" w:hAnsi="黑体" w:eastAsia="黑体" w:cs="黑体"/>
          <w:color w:val="auto"/>
          <w:sz w:val="31"/>
          <w:szCs w:val="31"/>
        </w:rPr>
      </w:pPr>
      <w:r>
        <w:rPr>
          <w:rFonts w:hint="eastAsia" w:ascii="黑体" w:hAnsi="黑体" w:eastAsia="黑体" w:cs="黑体"/>
          <w:color w:val="auto"/>
          <w:sz w:val="31"/>
          <w:szCs w:val="31"/>
          <w:lang w:eastAsia="zh-CN"/>
        </w:rPr>
        <w:t>八</w:t>
      </w:r>
      <w:r>
        <w:rPr>
          <w:rFonts w:hint="eastAsia" w:ascii="黑体" w:hAnsi="黑体" w:eastAsia="黑体" w:cs="黑体"/>
          <w:color w:val="auto"/>
          <w:sz w:val="31"/>
          <w:szCs w:val="31"/>
        </w:rPr>
        <w:t>、</w:t>
      </w:r>
      <w:r>
        <w:rPr>
          <w:rFonts w:hint="eastAsia" w:ascii="黑体" w:hAnsi="黑体" w:eastAsia="黑体" w:cs="黑体"/>
          <w:color w:val="auto"/>
          <w:sz w:val="31"/>
          <w:szCs w:val="31"/>
          <w:lang w:eastAsia="zh-CN"/>
        </w:rPr>
        <w:t>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</w:rPr>
        <w:t>（一）主办单位对参展作品有展览、研究、摄影、录像、出版及宣传权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）参展作品一律为作者原创作品。凡涉嫌抄袭、侵权、高仿、模仿他人作品者一律取消参评、参展资格；造成任何法律纠纷或责任的，由作者自负；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</w:rPr>
        <w:t>（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</w:rPr>
        <w:t>）凡送作品参评、参展作者，应视为已确认并遵守征稿启事的各项规定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textAlignment w:val="auto"/>
        <w:rPr>
          <w:rFonts w:hint="default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未尽事宜由主办单位另行商定。主办单位享有对本次展览的最终解释权。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</w:rPr>
        <w:t>展览信息可登录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岭南美术馆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官方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</w:rPr>
        <w:t>网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站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</w:rPr>
        <w:t>（lnmsg.net）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val="en-US" w:eastAsia="zh-CN"/>
        </w:rPr>
        <w:t>或“岭南美术馆”微信公众号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</w:rPr>
        <w:t>查看。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1"/>
          <w:szCs w:val="31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1"/>
          <w:szCs w:val="31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1"/>
          <w:szCs w:val="31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1"/>
          <w:szCs w:val="31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1"/>
          <w:szCs w:val="31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1"/>
          <w:szCs w:val="31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1"/>
          <w:szCs w:val="3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华康简标题宋" w:hAnsi="华康简标题宋" w:eastAsia="华康简标题宋" w:cs="华康简标题宋"/>
          <w:b w:val="0"/>
          <w:bCs/>
          <w:sz w:val="42"/>
          <w:szCs w:val="42"/>
          <w:lang w:val="en-US" w:eastAsia="zh-CN"/>
        </w:rPr>
      </w:pPr>
      <w:r>
        <w:rPr>
          <w:rFonts w:hint="eastAsia" w:ascii="华康简标题宋" w:hAnsi="华康简标题宋" w:eastAsia="华康简标题宋" w:cs="华康简标题宋"/>
          <w:b w:val="0"/>
          <w:bCs/>
          <w:sz w:val="42"/>
          <w:szCs w:val="42"/>
          <w:lang w:val="en-US" w:eastAsia="zh-CN"/>
        </w:rPr>
        <w:t>艺起绘美好——东莞教师美术作品双年展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2"/>
          <w:szCs w:val="42"/>
        </w:rPr>
      </w:pPr>
      <w:r>
        <w:rPr>
          <w:rFonts w:hint="eastAsia" w:ascii="华康简标题宋" w:hAnsi="华康简标题宋" w:eastAsia="华康简标题宋" w:cs="华康简标题宋"/>
          <w:b w:val="0"/>
          <w:bCs/>
          <w:sz w:val="42"/>
          <w:szCs w:val="42"/>
          <w:lang w:val="en-US" w:eastAsia="zh-CN"/>
        </w:rPr>
        <w:t>作品</w:t>
      </w:r>
      <w:r>
        <w:rPr>
          <w:rFonts w:hint="eastAsia" w:ascii="华康简标题宋" w:hAnsi="华康简标题宋" w:eastAsia="华康简标题宋" w:cs="华康简标题宋"/>
          <w:b w:val="0"/>
          <w:bCs/>
          <w:sz w:val="42"/>
          <w:szCs w:val="42"/>
          <w:lang w:eastAsia="zh-CN"/>
        </w:rPr>
        <w:t>登记</w:t>
      </w:r>
      <w:r>
        <w:rPr>
          <w:rFonts w:hint="eastAsia" w:ascii="华康简标题宋" w:hAnsi="华康简标题宋" w:eastAsia="华康简标题宋" w:cs="华康简标题宋"/>
          <w:b w:val="0"/>
          <w:bCs/>
          <w:sz w:val="42"/>
          <w:szCs w:val="4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 w:cs="宋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cs="宋体"/>
          <w:szCs w:val="21"/>
        </w:rPr>
        <w:t>编号（此处由展览组委会填写）:</w:t>
      </w:r>
    </w:p>
    <w:tbl>
      <w:tblPr>
        <w:tblStyle w:val="4"/>
        <w:tblW w:w="8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647"/>
        <w:gridCol w:w="1453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作者姓名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详细地址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作品名称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种类</w:t>
            </w:r>
          </w:p>
        </w:tc>
        <w:tc>
          <w:tcPr>
            <w:tcW w:w="73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中国画    □油画    □版画    □雕塑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□水彩（粉）画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综合材料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其他画种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创作时间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(具体年月)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作品尺寸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8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创作说明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880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cols w:space="720" w:num="1"/>
      <w:titlePg/>
      <w:docGrid w:type="lines" w:linePitch="6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10468F"/>
    <w:multiLevelType w:val="singleLevel"/>
    <w:tmpl w:val="9310468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YjgyMDQ3YTE5ODQ0YzNlOTIxODBlZmQ5NmQyNjAifQ=="/>
  </w:docVars>
  <w:rsids>
    <w:rsidRoot w:val="00000000"/>
    <w:rsid w:val="0AB13EC9"/>
    <w:rsid w:val="0B7A075E"/>
    <w:rsid w:val="3034687E"/>
    <w:rsid w:val="39F96B6F"/>
    <w:rsid w:val="3AB46F3A"/>
    <w:rsid w:val="4367412C"/>
    <w:rsid w:val="5CC9471B"/>
    <w:rsid w:val="5DC0337C"/>
    <w:rsid w:val="61C94AD0"/>
    <w:rsid w:val="62D53BFB"/>
    <w:rsid w:val="684D1CB0"/>
    <w:rsid w:val="6D68758C"/>
    <w:rsid w:val="74B41D45"/>
    <w:rsid w:val="74C36C8C"/>
    <w:rsid w:val="77BB5563"/>
    <w:rsid w:val="78E0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（绿盟科技）"/>
    <w:qFormat/>
    <w:uiPriority w:val="99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Administrator.USER-20190220CZ</dc:creator>
  <cp:lastModifiedBy>Administrator</cp:lastModifiedBy>
  <dcterms:modified xsi:type="dcterms:W3CDTF">2022-04-27T09:23:57Z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1AAEB2E9A3F6402D9B7A743C6A08ED6E</vt:lpwstr>
  </property>
  <property fmtid="{D5CDD505-2E9C-101B-9397-08002B2CF9AE}" pid="4" name="commondata">
    <vt:lpwstr>eyJoZGlkIjoiNDU3YjgyMDQ3YTE5ODQ0YzNlOTIxODBlZmQ5NmQyNjAifQ==</vt:lpwstr>
  </property>
</Properties>
</file>